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3A43" w:rsidRDefault="008F3A43"/>
    <w:p w:rsidR="00DE4503" w:rsidRPr="00F35595" w:rsidRDefault="00DE4503" w:rsidP="00DE4503">
      <w:pPr>
        <w:rPr>
          <w:rFonts w:cs="Arial"/>
          <w:b/>
          <w:i/>
          <w:sz w:val="24"/>
          <w:szCs w:val="24"/>
          <w:lang w:val="de-CH"/>
        </w:rPr>
      </w:pPr>
      <w:r w:rsidRPr="00F35595">
        <w:rPr>
          <w:rFonts w:cs="Arial"/>
          <w:b/>
          <w:i/>
          <w:sz w:val="24"/>
          <w:szCs w:val="24"/>
          <w:lang w:val="de-CH"/>
        </w:rPr>
        <w:t>Dokumentationsmaterial für Chemielehrer (nach Dübendorf Besuch 10.12.2012)</w:t>
      </w:r>
    </w:p>
    <w:p w:rsidR="00DE4503" w:rsidRPr="00BC6C02" w:rsidRDefault="00DE4503" w:rsidP="00DE4503">
      <w:pPr>
        <w:rPr>
          <w:rFonts w:cs="Arial"/>
          <w:lang w:val="de-CH"/>
        </w:rPr>
      </w:pPr>
    </w:p>
    <w:p w:rsidR="00DE4503" w:rsidRPr="00BC6C02" w:rsidRDefault="00DE4503" w:rsidP="00DE4503">
      <w:pPr>
        <w:rPr>
          <w:rFonts w:cs="Arial"/>
          <w:lang w:val="de-CH"/>
        </w:rPr>
      </w:pPr>
      <w:r w:rsidRPr="00BC6C02">
        <w:rPr>
          <w:rFonts w:cs="Arial"/>
          <w:lang w:val="de-CH"/>
        </w:rPr>
        <w:t>Zusammengestellt von Dr. Felix Flachsmann</w:t>
      </w:r>
    </w:p>
    <w:p w:rsidR="00DE4503" w:rsidRPr="00F35595" w:rsidRDefault="00DE4503">
      <w:pPr>
        <w:rPr>
          <w:lang w:val="de-CH"/>
        </w:rPr>
      </w:pPr>
    </w:p>
    <w:p w:rsidR="00DE4503" w:rsidRPr="00E12597" w:rsidRDefault="00DE4503" w:rsidP="00F35595">
      <w:pPr>
        <w:pStyle w:val="ListParagraph"/>
        <w:numPr>
          <w:ilvl w:val="0"/>
          <w:numId w:val="4"/>
        </w:numPr>
        <w:ind w:left="0" w:firstLine="0"/>
        <w:rPr>
          <w:i/>
          <w:sz w:val="24"/>
          <w:szCs w:val="24"/>
        </w:rPr>
      </w:pPr>
      <w:proofErr w:type="spellStart"/>
      <w:r w:rsidRPr="00E12597">
        <w:rPr>
          <w:i/>
          <w:sz w:val="24"/>
          <w:szCs w:val="24"/>
        </w:rPr>
        <w:t>Zeltlirezept</w:t>
      </w:r>
      <w:proofErr w:type="spellEnd"/>
      <w:r w:rsidRPr="00E12597">
        <w:rPr>
          <w:i/>
          <w:sz w:val="24"/>
          <w:szCs w:val="24"/>
        </w:rPr>
        <w:t xml:space="preserve"> von Beat </w:t>
      </w:r>
      <w:proofErr w:type="spellStart"/>
      <w:r w:rsidRPr="00E12597">
        <w:rPr>
          <w:i/>
          <w:sz w:val="24"/>
          <w:szCs w:val="24"/>
        </w:rPr>
        <w:t>Gmür</w:t>
      </w:r>
      <w:proofErr w:type="spellEnd"/>
    </w:p>
    <w:p w:rsidR="00F35595" w:rsidRPr="00F35595" w:rsidRDefault="00F35595" w:rsidP="00F35595">
      <w:pPr>
        <w:pStyle w:val="ListParagraph"/>
        <w:rPr>
          <w:lang w:val="de-CH"/>
        </w:rPr>
      </w:pPr>
    </w:p>
    <w:tbl>
      <w:tblPr>
        <w:tblStyle w:val="TableGrid"/>
        <w:tblW w:w="7465" w:type="dxa"/>
        <w:tblInd w:w="108" w:type="dxa"/>
        <w:tblLayout w:type="fixed"/>
        <w:tblLook w:val="01E0" w:firstRow="1" w:lastRow="1" w:firstColumn="1" w:lastColumn="1" w:noHBand="0" w:noVBand="0"/>
      </w:tblPr>
      <w:tblGrid>
        <w:gridCol w:w="4686"/>
        <w:gridCol w:w="2779"/>
      </w:tblGrid>
      <w:tr w:rsidR="00F35595" w:rsidRPr="00DE4503" w:rsidTr="00F35595">
        <w:trPr>
          <w:trHeight w:val="211"/>
        </w:trPr>
        <w:tc>
          <w:tcPr>
            <w:tcW w:w="4686" w:type="dxa"/>
          </w:tcPr>
          <w:p w:rsidR="00F35595" w:rsidRPr="00DE4503" w:rsidRDefault="00F35595" w:rsidP="00DE4503">
            <w:pPr>
              <w:rPr>
                <w:lang w:val="en-US"/>
              </w:rPr>
            </w:pPr>
            <w:r>
              <w:rPr>
                <w:lang w:val="en-US"/>
              </w:rPr>
              <w:t>Ingredients</w:t>
            </w:r>
          </w:p>
        </w:tc>
        <w:tc>
          <w:tcPr>
            <w:tcW w:w="2779" w:type="dxa"/>
          </w:tcPr>
          <w:p w:rsidR="00F35595" w:rsidRPr="00DE4503" w:rsidRDefault="00F35595" w:rsidP="00DE4503">
            <w:pPr>
              <w:rPr>
                <w:lang w:val="en-US"/>
              </w:rPr>
            </w:pPr>
            <w:r w:rsidRPr="00DE4503">
              <w:rPr>
                <w:lang w:val="en-US"/>
              </w:rPr>
              <w:t>Weight %</w:t>
            </w:r>
          </w:p>
        </w:tc>
      </w:tr>
      <w:tr w:rsidR="00F35595" w:rsidRPr="00DE4503" w:rsidTr="00F35595">
        <w:trPr>
          <w:trHeight w:val="211"/>
        </w:trPr>
        <w:tc>
          <w:tcPr>
            <w:tcW w:w="4686" w:type="dxa"/>
          </w:tcPr>
          <w:p w:rsidR="00F35595" w:rsidRPr="00DE4503" w:rsidRDefault="00F35595" w:rsidP="00DE4503">
            <w:pPr>
              <w:spacing w:line="283" w:lineRule="exact"/>
              <w:rPr>
                <w:lang w:val="en-US"/>
              </w:rPr>
            </w:pPr>
            <w:r w:rsidRPr="00DE4503">
              <w:rPr>
                <w:lang w:val="en-US"/>
              </w:rPr>
              <w:t xml:space="preserve">Sugar   </w:t>
            </w:r>
          </w:p>
        </w:tc>
        <w:tc>
          <w:tcPr>
            <w:tcW w:w="2779" w:type="dxa"/>
          </w:tcPr>
          <w:p w:rsidR="00F35595" w:rsidRPr="00DE4503" w:rsidRDefault="00F35595" w:rsidP="00DE4503">
            <w:pPr>
              <w:spacing w:line="283" w:lineRule="exact"/>
              <w:rPr>
                <w:lang w:val="en-US"/>
              </w:rPr>
            </w:pPr>
            <w:r w:rsidRPr="00DE4503">
              <w:rPr>
                <w:lang w:val="en-US"/>
              </w:rPr>
              <w:t>68.0</w:t>
            </w:r>
          </w:p>
        </w:tc>
      </w:tr>
      <w:tr w:rsidR="00F35595" w:rsidRPr="00DE4503" w:rsidTr="00F35595">
        <w:trPr>
          <w:trHeight w:val="225"/>
        </w:trPr>
        <w:tc>
          <w:tcPr>
            <w:tcW w:w="4686" w:type="dxa"/>
          </w:tcPr>
          <w:p w:rsidR="00F35595" w:rsidRPr="00DE4503" w:rsidRDefault="00F35595" w:rsidP="00DE4503">
            <w:pPr>
              <w:spacing w:line="283" w:lineRule="exact"/>
              <w:rPr>
                <w:lang w:val="en-US"/>
              </w:rPr>
            </w:pPr>
            <w:r w:rsidRPr="00DE4503">
              <w:rPr>
                <w:lang w:val="en-US"/>
              </w:rPr>
              <w:t xml:space="preserve">Water                                                                   </w:t>
            </w:r>
          </w:p>
        </w:tc>
        <w:tc>
          <w:tcPr>
            <w:tcW w:w="2779" w:type="dxa"/>
          </w:tcPr>
          <w:p w:rsidR="00F35595" w:rsidRPr="00DE4503" w:rsidRDefault="00F35595" w:rsidP="00DE4503">
            <w:pPr>
              <w:spacing w:line="283" w:lineRule="exact"/>
              <w:rPr>
                <w:lang w:val="en-US"/>
              </w:rPr>
            </w:pPr>
            <w:r w:rsidRPr="00DE4503">
              <w:rPr>
                <w:lang w:val="en-US"/>
              </w:rPr>
              <w:t>21.0</w:t>
            </w:r>
          </w:p>
        </w:tc>
      </w:tr>
      <w:tr w:rsidR="00F35595" w:rsidRPr="00DE4503" w:rsidTr="00F35595">
        <w:trPr>
          <w:trHeight w:val="211"/>
        </w:trPr>
        <w:tc>
          <w:tcPr>
            <w:tcW w:w="4686" w:type="dxa"/>
          </w:tcPr>
          <w:p w:rsidR="00F35595" w:rsidRPr="00DE4503" w:rsidRDefault="00F35595" w:rsidP="00DE4503">
            <w:pPr>
              <w:spacing w:line="283" w:lineRule="exact"/>
              <w:rPr>
                <w:lang w:val="en-US"/>
              </w:rPr>
            </w:pPr>
            <w:r w:rsidRPr="00DE4503">
              <w:rPr>
                <w:lang w:val="en-US"/>
              </w:rPr>
              <w:t xml:space="preserve">Glucose   DE  44, 43° </w:t>
            </w:r>
            <w:proofErr w:type="spellStart"/>
            <w:r w:rsidRPr="00DE4503">
              <w:rPr>
                <w:lang w:val="en-US"/>
              </w:rPr>
              <w:t>Bè</w:t>
            </w:r>
            <w:proofErr w:type="spellEnd"/>
          </w:p>
        </w:tc>
        <w:tc>
          <w:tcPr>
            <w:tcW w:w="2779" w:type="dxa"/>
          </w:tcPr>
          <w:p w:rsidR="00F35595" w:rsidRPr="00DE4503" w:rsidRDefault="00F35595" w:rsidP="00DE4503">
            <w:pPr>
              <w:spacing w:line="283" w:lineRule="exact"/>
              <w:rPr>
                <w:lang w:val="en-US"/>
              </w:rPr>
            </w:pPr>
            <w:r w:rsidRPr="00DE4503">
              <w:rPr>
                <w:lang w:val="en-US"/>
              </w:rPr>
              <w:t>37.0</w:t>
            </w:r>
          </w:p>
        </w:tc>
      </w:tr>
      <w:tr w:rsidR="00F35595" w:rsidRPr="00DE4503" w:rsidTr="00F35595">
        <w:trPr>
          <w:trHeight w:val="211"/>
        </w:trPr>
        <w:tc>
          <w:tcPr>
            <w:tcW w:w="4686" w:type="dxa"/>
          </w:tcPr>
          <w:p w:rsidR="00F35595" w:rsidRPr="00DE4503" w:rsidRDefault="00F35595" w:rsidP="00DE4503">
            <w:pPr>
              <w:spacing w:line="283" w:lineRule="exact"/>
              <w:rPr>
                <w:lang w:val="en-US"/>
              </w:rPr>
            </w:pPr>
            <w:proofErr w:type="spellStart"/>
            <w:r w:rsidRPr="00DE4503">
              <w:rPr>
                <w:lang w:val="en-US"/>
              </w:rPr>
              <w:t>Colour</w:t>
            </w:r>
            <w:proofErr w:type="spellEnd"/>
          </w:p>
        </w:tc>
        <w:tc>
          <w:tcPr>
            <w:tcW w:w="2779" w:type="dxa"/>
          </w:tcPr>
          <w:p w:rsidR="00F35595" w:rsidRPr="00DE4503" w:rsidRDefault="00F35595" w:rsidP="00DE4503">
            <w:pPr>
              <w:spacing w:line="283" w:lineRule="exact"/>
              <w:rPr>
                <w:lang w:val="en-US"/>
              </w:rPr>
            </w:pPr>
            <w:r w:rsidRPr="00DE4503">
              <w:rPr>
                <w:lang w:val="en-US"/>
              </w:rPr>
              <w:t>......</w:t>
            </w:r>
          </w:p>
        </w:tc>
      </w:tr>
      <w:tr w:rsidR="00F35595" w:rsidRPr="00DE4503" w:rsidTr="00F35595">
        <w:trPr>
          <w:trHeight w:val="225"/>
        </w:trPr>
        <w:tc>
          <w:tcPr>
            <w:tcW w:w="4686" w:type="dxa"/>
          </w:tcPr>
          <w:p w:rsidR="00F35595" w:rsidRPr="00DE4503" w:rsidRDefault="00F35595" w:rsidP="00DE4503">
            <w:pPr>
              <w:spacing w:line="283" w:lineRule="exact"/>
              <w:rPr>
                <w:lang w:val="en-US"/>
              </w:rPr>
            </w:pPr>
            <w:r w:rsidRPr="00DE4503">
              <w:rPr>
                <w:lang w:val="en-US"/>
              </w:rPr>
              <w:t>Flavour by Givaudan</w:t>
            </w:r>
          </w:p>
        </w:tc>
        <w:tc>
          <w:tcPr>
            <w:tcW w:w="2779" w:type="dxa"/>
          </w:tcPr>
          <w:p w:rsidR="00F35595" w:rsidRPr="00DE4503" w:rsidRDefault="00F35595" w:rsidP="00DE4503">
            <w:pPr>
              <w:spacing w:line="283" w:lineRule="exact"/>
              <w:rPr>
                <w:lang w:val="en-US"/>
              </w:rPr>
            </w:pPr>
            <w:r w:rsidRPr="00DE4503">
              <w:rPr>
                <w:lang w:val="en-US"/>
              </w:rPr>
              <w:t>......</w:t>
            </w:r>
          </w:p>
        </w:tc>
      </w:tr>
      <w:tr w:rsidR="00F35595" w:rsidRPr="00DE4503" w:rsidTr="00F35595">
        <w:trPr>
          <w:trHeight w:val="211"/>
        </w:trPr>
        <w:tc>
          <w:tcPr>
            <w:tcW w:w="4686" w:type="dxa"/>
          </w:tcPr>
          <w:p w:rsidR="00F35595" w:rsidRPr="00DE4503" w:rsidRDefault="00F35595" w:rsidP="00DE4503">
            <w:pPr>
              <w:spacing w:line="283" w:lineRule="exact"/>
              <w:rPr>
                <w:lang w:val="en-US"/>
              </w:rPr>
            </w:pPr>
            <w:r w:rsidRPr="00DE4503">
              <w:rPr>
                <w:lang w:val="en-US"/>
              </w:rPr>
              <w:t>Total</w:t>
            </w:r>
          </w:p>
        </w:tc>
        <w:tc>
          <w:tcPr>
            <w:tcW w:w="2779" w:type="dxa"/>
            <w:vAlign w:val="center"/>
          </w:tcPr>
          <w:p w:rsidR="00F35595" w:rsidRPr="00DE4503" w:rsidRDefault="00F35595" w:rsidP="00DE4503">
            <w:pPr>
              <w:spacing w:line="283" w:lineRule="exact"/>
              <w:rPr>
                <w:lang w:val="en-US"/>
              </w:rPr>
            </w:pPr>
            <w:r w:rsidRPr="00DE4503">
              <w:rPr>
                <w:lang w:val="en-US"/>
              </w:rPr>
              <w:t>100.00</w:t>
            </w:r>
          </w:p>
        </w:tc>
      </w:tr>
    </w:tbl>
    <w:p w:rsidR="00DE4503" w:rsidRDefault="00DE4503"/>
    <w:p w:rsidR="00DE4503" w:rsidRDefault="00DE4503" w:rsidP="00DE4503">
      <w:pPr>
        <w:pStyle w:val="ListParagraph"/>
      </w:pPr>
    </w:p>
    <w:p w:rsidR="00DE4503" w:rsidRPr="00E12597" w:rsidRDefault="00DE4503" w:rsidP="00F35595">
      <w:pPr>
        <w:pStyle w:val="ListParagraph"/>
        <w:numPr>
          <w:ilvl w:val="0"/>
          <w:numId w:val="4"/>
        </w:numPr>
        <w:ind w:left="0" w:firstLine="0"/>
        <w:rPr>
          <w:i/>
          <w:sz w:val="24"/>
          <w:szCs w:val="24"/>
        </w:rPr>
      </w:pPr>
      <w:proofErr w:type="spellStart"/>
      <w:r w:rsidRPr="00E12597">
        <w:rPr>
          <w:i/>
          <w:sz w:val="24"/>
          <w:szCs w:val="24"/>
        </w:rPr>
        <w:t>Mentholsynthese</w:t>
      </w:r>
      <w:proofErr w:type="spellEnd"/>
      <w:r w:rsidRPr="00E12597">
        <w:rPr>
          <w:i/>
          <w:sz w:val="24"/>
          <w:szCs w:val="24"/>
        </w:rPr>
        <w:t xml:space="preserve"> von Takasago</w:t>
      </w:r>
    </w:p>
    <w:p w:rsidR="00F35595" w:rsidRDefault="00F35595" w:rsidP="00F35595"/>
    <w:p w:rsidR="00F35595" w:rsidRPr="00F35595" w:rsidRDefault="00F35595" w:rsidP="00231BD5">
      <w:pPr>
        <w:rPr>
          <w:lang w:val="fr-CH"/>
        </w:rPr>
      </w:pPr>
      <w:r>
        <w:rPr>
          <w:noProof/>
          <w:lang w:val="de-CH" w:eastAsia="de-CH"/>
        </w:rPr>
        <w:drawing>
          <wp:anchor distT="0" distB="0" distL="114300" distR="114300" simplePos="0" relativeHeight="251658240" behindDoc="0" locked="0" layoutInCell="1" allowOverlap="1" wp14:anchorId="6922EA99" wp14:editId="7B8EE045">
            <wp:simplePos x="0" y="0"/>
            <wp:positionH relativeFrom="column">
              <wp:posOffset>3810</wp:posOffset>
            </wp:positionH>
            <wp:positionV relativeFrom="paragraph">
              <wp:posOffset>257175</wp:posOffset>
            </wp:positionV>
            <wp:extent cx="5652770" cy="3562350"/>
            <wp:effectExtent l="0" t="0" r="5080" b="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kasago.jpg"/>
                    <pic:cNvPicPr/>
                  </pic:nvPicPr>
                  <pic:blipFill rotWithShape="1">
                    <a:blip r:embed="rId9">
                      <a:extLst>
                        <a:ext uri="{28A0092B-C50C-407E-A947-70E740481C1C}">
                          <a14:useLocalDpi xmlns:a14="http://schemas.microsoft.com/office/drawing/2010/main" val="0"/>
                        </a:ext>
                      </a:extLst>
                    </a:blip>
                    <a:srcRect t="6140" b="17046"/>
                    <a:stretch/>
                  </pic:blipFill>
                  <pic:spPr bwMode="auto">
                    <a:xfrm>
                      <a:off x="0" y="0"/>
                      <a:ext cx="5652770" cy="35623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F35595">
        <w:rPr>
          <w:lang w:val="fr-CH"/>
        </w:rPr>
        <w:t>Source: http://en.wikipedia.org/wiki/Menthol</w:t>
      </w:r>
    </w:p>
    <w:p w:rsidR="00231BD5" w:rsidRPr="00F35595" w:rsidRDefault="00231BD5" w:rsidP="00231BD5">
      <w:pPr>
        <w:rPr>
          <w:lang w:val="fr-CH"/>
        </w:rPr>
      </w:pPr>
    </w:p>
    <w:p w:rsidR="00231BD5" w:rsidRPr="00F35595" w:rsidRDefault="00231BD5" w:rsidP="00231BD5">
      <w:pPr>
        <w:rPr>
          <w:lang w:val="fr-CH"/>
        </w:rPr>
      </w:pPr>
    </w:p>
    <w:p w:rsidR="00DE4503" w:rsidRPr="00E12597" w:rsidRDefault="00231BD5" w:rsidP="00F35595">
      <w:pPr>
        <w:pStyle w:val="ListParagraph"/>
        <w:numPr>
          <w:ilvl w:val="0"/>
          <w:numId w:val="4"/>
        </w:numPr>
        <w:ind w:left="0" w:firstLine="0"/>
        <w:rPr>
          <w:i/>
          <w:sz w:val="24"/>
          <w:szCs w:val="24"/>
        </w:rPr>
      </w:pPr>
      <w:proofErr w:type="spellStart"/>
      <w:r w:rsidRPr="00E12597">
        <w:rPr>
          <w:i/>
          <w:sz w:val="24"/>
          <w:szCs w:val="24"/>
        </w:rPr>
        <w:t>Publikationen</w:t>
      </w:r>
      <w:proofErr w:type="spellEnd"/>
    </w:p>
    <w:p w:rsidR="00F35595" w:rsidRDefault="00F35595" w:rsidP="00F35595"/>
    <w:p w:rsidR="00DE4503" w:rsidRDefault="00DE4503" w:rsidP="00F35595">
      <w:r w:rsidRPr="00DE4503">
        <w:rPr>
          <w:noProof/>
          <w:lang w:val="de-CH" w:eastAsia="de-CH"/>
        </w:rPr>
        <w:drawing>
          <wp:inline distT="0" distB="0" distL="0" distR="0" wp14:anchorId="61283F78" wp14:editId="6017C193">
            <wp:extent cx="5745163" cy="4711700"/>
            <wp:effectExtent l="0" t="0" r="8255" b="0"/>
            <wp:docPr id="103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4" name="Picture 10"/>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45163" cy="4711700"/>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pic:spPr>
                </pic:pic>
              </a:graphicData>
            </a:graphic>
          </wp:inline>
        </w:drawing>
      </w:r>
    </w:p>
    <w:p w:rsidR="004B180B" w:rsidRDefault="00E12597" w:rsidP="00E12597">
      <w:pPr>
        <w:pStyle w:val="ListParagraph"/>
        <w:numPr>
          <w:ilvl w:val="0"/>
          <w:numId w:val="9"/>
        </w:numPr>
      </w:pPr>
      <w:r>
        <w:t xml:space="preserve">G. </w:t>
      </w:r>
      <w:proofErr w:type="spellStart"/>
      <w:r>
        <w:t>Ohloff</w:t>
      </w:r>
      <w:proofErr w:type="spellEnd"/>
      <w:r>
        <w:t xml:space="preserve">, W. </w:t>
      </w:r>
      <w:proofErr w:type="spellStart"/>
      <w:r>
        <w:t>Pickenhagen</w:t>
      </w:r>
      <w:proofErr w:type="spellEnd"/>
      <w:r>
        <w:t>, P. Kraft, Scent and Chemistry – The molecular world of odour, Wiley-VCH, ISBN-10 3-906390-66-7</w:t>
      </w:r>
      <w:r w:rsidR="0035299B">
        <w:t>.</w:t>
      </w:r>
    </w:p>
    <w:p w:rsidR="00E12597" w:rsidRDefault="00E12597" w:rsidP="0035299B">
      <w:pPr>
        <w:pStyle w:val="ListParagraph"/>
        <w:ind w:left="360"/>
        <w:rPr>
          <w:lang w:val="de-CH"/>
        </w:rPr>
      </w:pPr>
      <w:r>
        <w:rPr>
          <w:lang w:val="de-CH"/>
        </w:rPr>
        <w:t>Moderne und aktuelle</w:t>
      </w:r>
      <w:r w:rsidRPr="00E12597">
        <w:rPr>
          <w:lang w:val="de-CH"/>
        </w:rPr>
        <w:t xml:space="preserve"> Kompilation vo</w:t>
      </w:r>
      <w:r>
        <w:rPr>
          <w:lang w:val="de-CH"/>
        </w:rPr>
        <w:t>n Riechstoffen und Ingredienzen, geschrieben vom Givaudan Chemiker Dr. Philip Kraft.</w:t>
      </w:r>
    </w:p>
    <w:p w:rsidR="00AC084B" w:rsidRDefault="00AC084B" w:rsidP="00AC084B">
      <w:pPr>
        <w:pStyle w:val="ListParagraph"/>
        <w:numPr>
          <w:ilvl w:val="0"/>
          <w:numId w:val="9"/>
        </w:numPr>
        <w:rPr>
          <w:lang w:val="de-CH"/>
        </w:rPr>
      </w:pPr>
      <w:r>
        <w:rPr>
          <w:lang w:val="de-CH"/>
        </w:rPr>
        <w:t>B. Schäfer, Naturstoffe der chemischen Industrie, Elsevier, ISBN-10: 3-8274-1614-0.</w:t>
      </w:r>
    </w:p>
    <w:p w:rsidR="00AC084B" w:rsidRDefault="00AC084B" w:rsidP="00AC084B">
      <w:pPr>
        <w:pStyle w:val="ListParagraph"/>
        <w:ind w:left="360"/>
        <w:rPr>
          <w:lang w:val="de-CH"/>
        </w:rPr>
      </w:pPr>
      <w:r>
        <w:rPr>
          <w:lang w:val="de-CH"/>
        </w:rPr>
        <w:t>Insgesamt sehr interessantes praxisorientiertes Chemiebuch, mit einem guten Kapitel über Riech- und Aromastoffe.</w:t>
      </w:r>
    </w:p>
    <w:p w:rsidR="0035299B" w:rsidRDefault="00B122D0" w:rsidP="00B122D0">
      <w:pPr>
        <w:pStyle w:val="ListParagraph"/>
        <w:numPr>
          <w:ilvl w:val="0"/>
          <w:numId w:val="9"/>
        </w:numPr>
        <w:rPr>
          <w:lang w:val="de-CH"/>
        </w:rPr>
      </w:pPr>
      <w:r w:rsidRPr="00B122D0">
        <w:rPr>
          <w:lang w:val="de-CH"/>
        </w:rPr>
        <w:lastRenderedPageBreak/>
        <w:t>Praxis der Naturwissenschaften, Chemie in der Schule  (2009),  58(5),  15-26.</w:t>
      </w:r>
      <w:r>
        <w:rPr>
          <w:lang w:val="de-CH"/>
        </w:rPr>
        <w:t xml:space="preserve"> </w:t>
      </w:r>
    </w:p>
    <w:p w:rsidR="00B122D0" w:rsidRDefault="00B122D0" w:rsidP="00B122D0">
      <w:pPr>
        <w:pStyle w:val="ListParagraph"/>
        <w:ind w:left="360"/>
        <w:rPr>
          <w:lang w:val="de-CH"/>
        </w:rPr>
      </w:pPr>
      <w:r>
        <w:rPr>
          <w:lang w:val="de-CH"/>
        </w:rPr>
        <w:t>Sonderheft zum Thema Parfüm und Riechen im Schulunterricht</w:t>
      </w:r>
    </w:p>
    <w:p w:rsidR="00B122D0" w:rsidRDefault="00B122D0" w:rsidP="00B122D0">
      <w:pPr>
        <w:pStyle w:val="ListParagraph"/>
        <w:numPr>
          <w:ilvl w:val="0"/>
          <w:numId w:val="9"/>
        </w:numPr>
        <w:rPr>
          <w:lang w:val="de-CH"/>
        </w:rPr>
      </w:pPr>
      <w:r w:rsidRPr="00B122D0">
        <w:rPr>
          <w:lang w:val="de-CH"/>
        </w:rPr>
        <w:t xml:space="preserve">Gautschi, Markus; Natsch, Andreas; Schroeder, Fridtjof.  </w:t>
      </w:r>
      <w:r w:rsidRPr="00B122D0">
        <w:rPr>
          <w:lang w:val="en-US"/>
        </w:rPr>
        <w:t xml:space="preserve">Biochemistry of human axilla malodor and chemistry of deodorant ingredients.    </w:t>
      </w:r>
      <w:r w:rsidRPr="00B122D0">
        <w:rPr>
          <w:lang w:val="de-CH"/>
        </w:rPr>
        <w:t xml:space="preserve">Chimia  (2007),  61(1-2),  27-32.  </w:t>
      </w:r>
    </w:p>
    <w:p w:rsidR="00B122D0" w:rsidRDefault="00B122D0" w:rsidP="00B122D0">
      <w:pPr>
        <w:pStyle w:val="ListParagraph"/>
        <w:ind w:left="360"/>
        <w:rPr>
          <w:lang w:val="de-CH"/>
        </w:rPr>
      </w:pPr>
      <w:r>
        <w:rPr>
          <w:lang w:val="de-CH"/>
        </w:rPr>
        <w:t>Detaillierte Erklärung der Entstehung von Schweissgeruch. Dazu das Bild:</w:t>
      </w:r>
    </w:p>
    <w:p w:rsidR="00B122D0" w:rsidRDefault="00A77D17" w:rsidP="00B122D0">
      <w:pPr>
        <w:pStyle w:val="ListParagraph"/>
        <w:ind w:left="360"/>
        <w:rPr>
          <w:lang w:val="de-CH"/>
        </w:rPr>
      </w:pPr>
      <w:r>
        <w:rPr>
          <w:noProof/>
          <w:lang w:val="de-CH" w:eastAsia="de-CH"/>
        </w:rPr>
        <w:drawing>
          <wp:anchor distT="0" distB="0" distL="114300" distR="114300" simplePos="0" relativeHeight="251659264" behindDoc="0" locked="0" layoutInCell="1" allowOverlap="1" wp14:anchorId="0A69FC39" wp14:editId="1EFDC5B0">
            <wp:simplePos x="0" y="0"/>
            <wp:positionH relativeFrom="column">
              <wp:posOffset>234950</wp:posOffset>
            </wp:positionH>
            <wp:positionV relativeFrom="paragraph">
              <wp:posOffset>112395</wp:posOffset>
            </wp:positionV>
            <wp:extent cx="2332990" cy="1973580"/>
            <wp:effectExtent l="0" t="0" r="0" b="7620"/>
            <wp:wrapTopAndBottom/>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chselhöhlenschnüffeln.jpg"/>
                    <pic:cNvPicPr/>
                  </pic:nvPicPr>
                  <pic:blipFill>
                    <a:blip r:embed="rId11">
                      <a:extLst>
                        <a:ext uri="{28A0092B-C50C-407E-A947-70E740481C1C}">
                          <a14:useLocalDpi xmlns:a14="http://schemas.microsoft.com/office/drawing/2010/main" val="0"/>
                        </a:ext>
                      </a:extLst>
                    </a:blip>
                    <a:stretch>
                      <a:fillRect/>
                    </a:stretch>
                  </pic:blipFill>
                  <pic:spPr>
                    <a:xfrm>
                      <a:off x="0" y="0"/>
                      <a:ext cx="2332990" cy="1973580"/>
                    </a:xfrm>
                    <a:prstGeom prst="rect">
                      <a:avLst/>
                    </a:prstGeom>
                  </pic:spPr>
                </pic:pic>
              </a:graphicData>
            </a:graphic>
            <wp14:sizeRelH relativeFrom="page">
              <wp14:pctWidth>0</wp14:pctWidth>
            </wp14:sizeRelH>
            <wp14:sizeRelV relativeFrom="page">
              <wp14:pctHeight>0</wp14:pctHeight>
            </wp14:sizeRelV>
          </wp:anchor>
        </w:drawing>
      </w:r>
    </w:p>
    <w:p w:rsidR="00E12597" w:rsidRPr="00A77D17" w:rsidRDefault="00A77D17" w:rsidP="00A77D17">
      <w:pPr>
        <w:pStyle w:val="ListParagraph"/>
        <w:numPr>
          <w:ilvl w:val="0"/>
          <w:numId w:val="9"/>
        </w:numPr>
        <w:rPr>
          <w:lang w:val="de-CH"/>
        </w:rPr>
      </w:pPr>
      <w:r>
        <w:rPr>
          <w:rFonts w:ascii="Helvetica" w:hAnsi="Helvetica" w:cs="Helvetica"/>
          <w:color w:val="333333"/>
          <w:sz w:val="18"/>
          <w:szCs w:val="18"/>
        </w:rPr>
        <w:t xml:space="preserve">An inter-disciplinary team of scientists including </w:t>
      </w:r>
      <w:proofErr w:type="spellStart"/>
      <w:r>
        <w:rPr>
          <w:rFonts w:ascii="Helvetica" w:hAnsi="Helvetica" w:cs="Helvetica"/>
          <w:color w:val="333333"/>
          <w:sz w:val="18"/>
          <w:szCs w:val="18"/>
        </w:rPr>
        <w:t>Givaudan’s</w:t>
      </w:r>
      <w:proofErr w:type="spellEnd"/>
      <w:r>
        <w:rPr>
          <w:rFonts w:ascii="Helvetica" w:hAnsi="Helvetica" w:cs="Helvetica"/>
          <w:color w:val="333333"/>
          <w:sz w:val="18"/>
          <w:szCs w:val="18"/>
        </w:rPr>
        <w:t xml:space="preserve"> fragrance chemist Philip Kraft has investigated the interaction of various </w:t>
      </w:r>
      <w:proofErr w:type="spellStart"/>
      <w:r>
        <w:rPr>
          <w:rFonts w:ascii="Helvetica" w:hAnsi="Helvetica" w:cs="Helvetica"/>
          <w:color w:val="333333"/>
          <w:sz w:val="18"/>
          <w:szCs w:val="18"/>
        </w:rPr>
        <w:t>Muguet</w:t>
      </w:r>
      <w:proofErr w:type="spellEnd"/>
      <w:r>
        <w:rPr>
          <w:rFonts w:ascii="Helvetica" w:hAnsi="Helvetica" w:cs="Helvetica"/>
          <w:color w:val="333333"/>
          <w:sz w:val="18"/>
          <w:szCs w:val="18"/>
        </w:rPr>
        <w:t xml:space="preserve"> odour chemicals with the corresponding olfactory receptor. </w:t>
      </w:r>
      <w:proofErr w:type="spellStart"/>
      <w:r>
        <w:rPr>
          <w:rFonts w:ascii="Helvetica" w:hAnsi="Helvetica" w:cs="Helvetica"/>
          <w:i/>
          <w:iCs/>
          <w:color w:val="333333"/>
          <w:sz w:val="18"/>
          <w:szCs w:val="18"/>
        </w:rPr>
        <w:t>Angewandte</w:t>
      </w:r>
      <w:proofErr w:type="spellEnd"/>
      <w:r>
        <w:rPr>
          <w:rFonts w:ascii="Helvetica" w:hAnsi="Helvetica" w:cs="Helvetica"/>
          <w:i/>
          <w:iCs/>
          <w:color w:val="333333"/>
          <w:sz w:val="18"/>
          <w:szCs w:val="18"/>
        </w:rPr>
        <w:t xml:space="preserve"> </w:t>
      </w:r>
      <w:proofErr w:type="spellStart"/>
      <w:r>
        <w:rPr>
          <w:rFonts w:ascii="Helvetica" w:hAnsi="Helvetica" w:cs="Helvetica"/>
          <w:i/>
          <w:iCs/>
          <w:color w:val="333333"/>
          <w:sz w:val="18"/>
          <w:szCs w:val="18"/>
        </w:rPr>
        <w:t>Chemie</w:t>
      </w:r>
      <w:proofErr w:type="spellEnd"/>
      <w:r>
        <w:rPr>
          <w:rFonts w:ascii="Helvetica" w:hAnsi="Helvetica" w:cs="Helvetica"/>
          <w:i/>
          <w:iCs/>
          <w:color w:val="333333"/>
          <w:sz w:val="18"/>
          <w:szCs w:val="18"/>
        </w:rPr>
        <w:t xml:space="preserve"> Intl.</w:t>
      </w:r>
      <w:r>
        <w:rPr>
          <w:rFonts w:ascii="Helvetica" w:hAnsi="Helvetica" w:cs="Helvetica"/>
          <w:color w:val="333333"/>
          <w:sz w:val="18"/>
          <w:szCs w:val="18"/>
        </w:rPr>
        <w:t xml:space="preserve"> </w:t>
      </w:r>
      <w:r>
        <w:rPr>
          <w:rFonts w:ascii="Helvetica" w:hAnsi="Helvetica" w:cs="Helvetica"/>
          <w:b/>
          <w:bCs/>
          <w:color w:val="333333"/>
          <w:sz w:val="18"/>
          <w:szCs w:val="18"/>
        </w:rPr>
        <w:t>46,</w:t>
      </w:r>
      <w:r>
        <w:rPr>
          <w:rFonts w:ascii="Helvetica" w:hAnsi="Helvetica" w:cs="Helvetica"/>
          <w:color w:val="333333"/>
          <w:sz w:val="18"/>
          <w:szCs w:val="18"/>
        </w:rPr>
        <w:t xml:space="preserve"> 1-6 (2007).</w:t>
      </w:r>
    </w:p>
    <w:p w:rsidR="00A77D17" w:rsidRPr="00A77D17" w:rsidRDefault="00A77D17" w:rsidP="00A77D17">
      <w:pPr>
        <w:pStyle w:val="ListParagraph"/>
        <w:numPr>
          <w:ilvl w:val="0"/>
          <w:numId w:val="9"/>
        </w:numPr>
        <w:rPr>
          <w:lang w:val="de-CH"/>
        </w:rPr>
      </w:pPr>
      <w:proofErr w:type="spellStart"/>
      <w:r>
        <w:rPr>
          <w:rFonts w:ascii="Helvetica" w:hAnsi="Helvetica" w:cs="Helvetica"/>
          <w:color w:val="333333"/>
          <w:sz w:val="18"/>
          <w:szCs w:val="18"/>
        </w:rPr>
        <w:t>Givaudan’s</w:t>
      </w:r>
      <w:proofErr w:type="spellEnd"/>
      <w:r>
        <w:rPr>
          <w:rFonts w:ascii="Helvetica" w:hAnsi="Helvetica" w:cs="Helvetica"/>
          <w:color w:val="333333"/>
          <w:sz w:val="18"/>
          <w:szCs w:val="18"/>
        </w:rPr>
        <w:t xml:space="preserve"> researchers dive into the world of </w:t>
      </w:r>
      <w:proofErr w:type="spellStart"/>
      <w:r>
        <w:rPr>
          <w:rFonts w:ascii="Helvetica" w:hAnsi="Helvetica" w:cs="Helvetica"/>
          <w:color w:val="333333"/>
          <w:sz w:val="18"/>
          <w:szCs w:val="18"/>
        </w:rPr>
        <w:t>Galbanone</w:t>
      </w:r>
      <w:proofErr w:type="spellEnd"/>
      <w:r>
        <w:rPr>
          <w:rFonts w:ascii="Helvetica" w:hAnsi="Helvetica" w:cs="Helvetica"/>
          <w:color w:val="333333"/>
          <w:sz w:val="18"/>
          <w:szCs w:val="18"/>
        </w:rPr>
        <w:t xml:space="preserve"> notes. </w:t>
      </w:r>
      <w:r>
        <w:rPr>
          <w:rFonts w:ascii="Helvetica" w:hAnsi="Helvetica" w:cs="Helvetica"/>
          <w:i/>
          <w:iCs/>
          <w:color w:val="333333"/>
          <w:sz w:val="18"/>
          <w:szCs w:val="18"/>
        </w:rPr>
        <w:t>Bioorganic &amp; Medicinal Chemistry</w:t>
      </w:r>
      <w:r>
        <w:rPr>
          <w:rFonts w:ascii="Helvetica" w:hAnsi="Helvetica" w:cs="Helvetica"/>
          <w:color w:val="333333"/>
          <w:sz w:val="18"/>
          <w:szCs w:val="18"/>
        </w:rPr>
        <w:t xml:space="preserve"> </w:t>
      </w:r>
      <w:r>
        <w:rPr>
          <w:rFonts w:ascii="Helvetica" w:hAnsi="Helvetica" w:cs="Helvetica"/>
          <w:b/>
          <w:bCs/>
          <w:color w:val="333333"/>
          <w:sz w:val="18"/>
          <w:szCs w:val="18"/>
        </w:rPr>
        <w:t>11,</w:t>
      </w:r>
      <w:r>
        <w:rPr>
          <w:rFonts w:ascii="Helvetica" w:hAnsi="Helvetica" w:cs="Helvetica"/>
          <w:color w:val="333333"/>
          <w:sz w:val="18"/>
          <w:szCs w:val="18"/>
        </w:rPr>
        <w:t xml:space="preserve"> 2931-2946 (2003).</w:t>
      </w:r>
    </w:p>
    <w:p w:rsidR="00A77D17" w:rsidRPr="00AC084B" w:rsidRDefault="00A77D17" w:rsidP="00A77D17">
      <w:pPr>
        <w:pStyle w:val="ListParagraph"/>
        <w:numPr>
          <w:ilvl w:val="0"/>
          <w:numId w:val="9"/>
        </w:numPr>
        <w:rPr>
          <w:lang w:val="en-US"/>
        </w:rPr>
      </w:pPr>
      <w:proofErr w:type="spellStart"/>
      <w:r>
        <w:rPr>
          <w:rFonts w:ascii="Helvetica" w:hAnsi="Helvetica" w:cs="Helvetica"/>
          <w:color w:val="333333"/>
          <w:sz w:val="18"/>
          <w:szCs w:val="18"/>
        </w:rPr>
        <w:t>Gautschi</w:t>
      </w:r>
      <w:proofErr w:type="spellEnd"/>
      <w:r>
        <w:rPr>
          <w:rFonts w:ascii="Helvetica" w:hAnsi="Helvetica" w:cs="Helvetica"/>
          <w:color w:val="333333"/>
          <w:sz w:val="18"/>
          <w:szCs w:val="18"/>
        </w:rPr>
        <w:t xml:space="preserve"> et al review Milestones and Perspectives of Fragrance Chemistry. </w:t>
      </w:r>
      <w:proofErr w:type="spellStart"/>
      <w:r>
        <w:rPr>
          <w:rFonts w:ascii="Helvetica" w:hAnsi="Helvetica" w:cs="Helvetica"/>
          <w:i/>
          <w:iCs/>
          <w:color w:val="333333"/>
          <w:sz w:val="18"/>
          <w:szCs w:val="18"/>
        </w:rPr>
        <w:t>Chimia</w:t>
      </w:r>
      <w:proofErr w:type="spellEnd"/>
      <w:r>
        <w:rPr>
          <w:rFonts w:ascii="Helvetica" w:hAnsi="Helvetica" w:cs="Helvetica"/>
          <w:color w:val="333333"/>
          <w:sz w:val="18"/>
          <w:szCs w:val="18"/>
        </w:rPr>
        <w:t xml:space="preserve"> </w:t>
      </w:r>
      <w:r>
        <w:rPr>
          <w:rFonts w:ascii="Helvetica" w:hAnsi="Helvetica" w:cs="Helvetica"/>
          <w:b/>
          <w:bCs/>
          <w:color w:val="333333"/>
          <w:sz w:val="18"/>
          <w:szCs w:val="18"/>
        </w:rPr>
        <w:t>55</w:t>
      </w:r>
      <w:r>
        <w:rPr>
          <w:rFonts w:ascii="Helvetica" w:hAnsi="Helvetica" w:cs="Helvetica"/>
          <w:color w:val="333333"/>
          <w:sz w:val="18"/>
          <w:szCs w:val="18"/>
        </w:rPr>
        <w:t xml:space="preserve"> (2001), 379-387.</w:t>
      </w:r>
    </w:p>
    <w:p w:rsidR="00AC084B" w:rsidRDefault="00AC084B" w:rsidP="00AC084B">
      <w:pPr>
        <w:rPr>
          <w:lang w:val="en-US"/>
        </w:rPr>
      </w:pPr>
    </w:p>
    <w:p w:rsidR="00AC084B" w:rsidRDefault="00AC084B" w:rsidP="00AC084B">
      <w:pPr>
        <w:rPr>
          <w:lang w:val="en-US"/>
        </w:rPr>
      </w:pPr>
    </w:p>
    <w:p w:rsidR="00AC084B" w:rsidRPr="00AC084B" w:rsidRDefault="00AC084B" w:rsidP="00AC084B">
      <w:pPr>
        <w:rPr>
          <w:lang w:val="en-US"/>
        </w:rPr>
      </w:pPr>
    </w:p>
    <w:p w:rsidR="00AC084B" w:rsidRPr="00E12597" w:rsidRDefault="00AC084B" w:rsidP="00AC084B">
      <w:pPr>
        <w:pStyle w:val="ListParagraph"/>
        <w:numPr>
          <w:ilvl w:val="0"/>
          <w:numId w:val="4"/>
        </w:numPr>
        <w:ind w:left="0" w:firstLine="0"/>
        <w:rPr>
          <w:i/>
          <w:sz w:val="24"/>
          <w:szCs w:val="24"/>
        </w:rPr>
      </w:pPr>
      <w:proofErr w:type="spellStart"/>
      <w:r>
        <w:rPr>
          <w:i/>
          <w:sz w:val="24"/>
          <w:szCs w:val="24"/>
        </w:rPr>
        <w:t>Eine</w:t>
      </w:r>
      <w:proofErr w:type="spellEnd"/>
      <w:r>
        <w:rPr>
          <w:i/>
          <w:sz w:val="24"/>
          <w:szCs w:val="24"/>
        </w:rPr>
        <w:t xml:space="preserve"> </w:t>
      </w:r>
      <w:proofErr w:type="spellStart"/>
      <w:r>
        <w:rPr>
          <w:i/>
          <w:sz w:val="24"/>
          <w:szCs w:val="24"/>
        </w:rPr>
        <w:t>einfache</w:t>
      </w:r>
      <w:proofErr w:type="spellEnd"/>
      <w:r>
        <w:rPr>
          <w:i/>
          <w:sz w:val="24"/>
          <w:szCs w:val="24"/>
        </w:rPr>
        <w:t xml:space="preserve"> </w:t>
      </w:r>
      <w:proofErr w:type="spellStart"/>
      <w:r>
        <w:rPr>
          <w:i/>
          <w:sz w:val="24"/>
          <w:szCs w:val="24"/>
        </w:rPr>
        <w:t>Riechstoffsynthese</w:t>
      </w:r>
      <w:proofErr w:type="spellEnd"/>
    </w:p>
    <w:p w:rsidR="00AC084B" w:rsidRDefault="00AC084B" w:rsidP="00AC084B">
      <w:pPr>
        <w:rPr>
          <w:lang w:val="en-US"/>
        </w:rPr>
      </w:pPr>
    </w:p>
    <w:p w:rsidR="00AC084B" w:rsidRDefault="00B314D8" w:rsidP="00AC084B">
      <w:pPr>
        <w:rPr>
          <w:lang w:val="de-CH"/>
        </w:rPr>
      </w:pPr>
      <w:r w:rsidRPr="00B314D8">
        <w:rPr>
          <w:lang w:val="de-CH"/>
        </w:rPr>
        <w:t xml:space="preserve">Im Buch “Reaktionen und Synthesen” von L. </w:t>
      </w:r>
      <w:r>
        <w:rPr>
          <w:lang w:val="de-CH"/>
        </w:rPr>
        <w:t xml:space="preserve">Tietze und B. Eicher wird im Kontext von Vitamin A die Synthese von </w:t>
      </w:r>
      <w:r w:rsidRPr="00B314D8">
        <w:rPr>
          <w:rFonts w:ascii="Symbol" w:hAnsi="Symbol"/>
          <w:lang w:val="de-CH"/>
        </w:rPr>
        <w:t></w:t>
      </w:r>
      <w:r>
        <w:rPr>
          <w:lang w:val="de-CH"/>
        </w:rPr>
        <w:t>-Ionon beschrieben, dem Veilchenriechstoff schlechthin. Die letzte Stufe, die säurekatalysierte Kation-Olefin Cyclisierung von Pseudionon zum Riechstoff lässt sich gut im Praktikum durchführen. Dabei wird ein schwach riechender Ausgangsstoff in ein intensiv riechendes Blütenprinzip umgewandelt. Das Verhältnis der Doppelbindungsisomeren alpha und beta können gaschromatographisch bestimmt werden (variert in Funktion der verwendeten Säure).</w:t>
      </w:r>
    </w:p>
    <w:p w:rsidR="00B314D8" w:rsidRDefault="00B314D8" w:rsidP="00AC084B">
      <w:pPr>
        <w:rPr>
          <w:lang w:val="de-CH"/>
        </w:rPr>
      </w:pPr>
      <w:r>
        <w:rPr>
          <w:lang w:val="de-CH"/>
        </w:rPr>
        <w:t>Auf Anfrage könnten wir Referenzproben der beiden Isomere zur Verfügung stellen.</w:t>
      </w:r>
      <w:r w:rsidR="00924D7D">
        <w:rPr>
          <w:lang w:val="de-CH"/>
        </w:rPr>
        <w:t xml:space="preserve"> Das Ausgangsmaterial ist nicht teuer und kommerziell erhältlich.</w:t>
      </w:r>
      <w:bookmarkStart w:id="0" w:name="_GoBack"/>
      <w:bookmarkEnd w:id="0"/>
    </w:p>
    <w:p w:rsidR="00B314D8" w:rsidRDefault="00B314D8" w:rsidP="00AC084B">
      <w:pPr>
        <w:rPr>
          <w:lang w:val="de-CH"/>
        </w:rPr>
      </w:pPr>
    </w:p>
    <w:p w:rsidR="00B314D8" w:rsidRPr="00B314D8" w:rsidRDefault="00B314D8" w:rsidP="00AC084B">
      <w:pPr>
        <w:rPr>
          <w:lang w:val="de-CH"/>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61.8pt;margin-top:7.85pt;width:258.5pt;height:88.2pt;z-index:251661312;mso-position-horizontal-relative:text;mso-position-vertical-relative:text">
            <v:imagedata r:id="rId12" o:title=""/>
            <w10:wrap type="square"/>
          </v:shape>
          <o:OLEObject Type="Embed" ProgID="ChemDraw.Document.6.0" ShapeID="_x0000_s1026" DrawAspect="Content" ObjectID="_1411619973" r:id="rId13"/>
        </w:pict>
      </w:r>
    </w:p>
    <w:sectPr w:rsidR="00B314D8" w:rsidRPr="00B314D8" w:rsidSect="00F35595">
      <w:pgSz w:w="11906" w:h="16838" w:code="9"/>
      <w:pgMar w:top="1134" w:right="1134" w:bottom="1134" w:left="1134" w:header="567" w:footer="85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14D8" w:rsidRDefault="00B314D8">
      <w:r>
        <w:separator/>
      </w:r>
    </w:p>
  </w:endnote>
  <w:endnote w:type="continuationSeparator" w:id="0">
    <w:p w:rsidR="00B314D8" w:rsidRDefault="00B314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14D8" w:rsidRDefault="00B314D8">
      <w:r>
        <w:separator/>
      </w:r>
    </w:p>
  </w:footnote>
  <w:footnote w:type="continuationSeparator" w:id="0">
    <w:p w:rsidR="00B314D8" w:rsidRDefault="00B314D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B9049D"/>
    <w:multiLevelType w:val="hybridMultilevel"/>
    <w:tmpl w:val="FE9EA6B8"/>
    <w:lvl w:ilvl="0" w:tplc="08070011">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
    <w:nsid w:val="12A333D5"/>
    <w:multiLevelType w:val="multilevel"/>
    <w:tmpl w:val="2DCC36CE"/>
    <w:lvl w:ilvl="0">
      <w:start w:val="1"/>
      <w:numFmt w:val="bullet"/>
      <w:lvlText w:val=""/>
      <w:lvlJc w:val="left"/>
      <w:pPr>
        <w:tabs>
          <w:tab w:val="num" w:pos="170"/>
        </w:tabs>
        <w:ind w:left="170" w:hanging="17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32760BDE"/>
    <w:multiLevelType w:val="multilevel"/>
    <w:tmpl w:val="2DCC36CE"/>
    <w:lvl w:ilvl="0">
      <w:start w:val="1"/>
      <w:numFmt w:val="bullet"/>
      <w:lvlText w:val=""/>
      <w:lvlJc w:val="left"/>
      <w:pPr>
        <w:tabs>
          <w:tab w:val="num" w:pos="170"/>
        </w:tabs>
        <w:ind w:left="170" w:hanging="17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32CB4B55"/>
    <w:multiLevelType w:val="hybridMultilevel"/>
    <w:tmpl w:val="02306D82"/>
    <w:lvl w:ilvl="0" w:tplc="23D88E0C">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4">
    <w:nsid w:val="467415D7"/>
    <w:multiLevelType w:val="hybridMultilevel"/>
    <w:tmpl w:val="DB249D04"/>
    <w:lvl w:ilvl="0" w:tplc="896ED42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nsid w:val="497432D9"/>
    <w:multiLevelType w:val="hybridMultilevel"/>
    <w:tmpl w:val="CE0C1D26"/>
    <w:lvl w:ilvl="0" w:tplc="08070011">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6">
    <w:nsid w:val="646E1274"/>
    <w:multiLevelType w:val="hybridMultilevel"/>
    <w:tmpl w:val="2DCC36CE"/>
    <w:lvl w:ilvl="0" w:tplc="C9D44B1C">
      <w:start w:val="1"/>
      <w:numFmt w:val="bullet"/>
      <w:lvlText w:val=""/>
      <w:lvlJc w:val="left"/>
      <w:pPr>
        <w:tabs>
          <w:tab w:val="num" w:pos="170"/>
        </w:tabs>
        <w:ind w:left="170" w:hanging="170"/>
      </w:pPr>
      <w:rPr>
        <w:rFonts w:ascii="Symbol" w:hAnsi="Symbol" w:hint="default"/>
      </w:rPr>
    </w:lvl>
    <w:lvl w:ilvl="1" w:tplc="100C0003" w:tentative="1">
      <w:start w:val="1"/>
      <w:numFmt w:val="bullet"/>
      <w:lvlText w:val="o"/>
      <w:lvlJc w:val="left"/>
      <w:pPr>
        <w:tabs>
          <w:tab w:val="num" w:pos="1440"/>
        </w:tabs>
        <w:ind w:left="1440" w:hanging="360"/>
      </w:pPr>
      <w:rPr>
        <w:rFonts w:ascii="Courier New" w:hAnsi="Courier New" w:cs="Courier New" w:hint="default"/>
      </w:rPr>
    </w:lvl>
    <w:lvl w:ilvl="2" w:tplc="100C0005" w:tentative="1">
      <w:start w:val="1"/>
      <w:numFmt w:val="bullet"/>
      <w:lvlText w:val=""/>
      <w:lvlJc w:val="left"/>
      <w:pPr>
        <w:tabs>
          <w:tab w:val="num" w:pos="2160"/>
        </w:tabs>
        <w:ind w:left="2160" w:hanging="360"/>
      </w:pPr>
      <w:rPr>
        <w:rFonts w:ascii="Wingdings" w:hAnsi="Wingdings" w:hint="default"/>
      </w:rPr>
    </w:lvl>
    <w:lvl w:ilvl="3" w:tplc="100C0001" w:tentative="1">
      <w:start w:val="1"/>
      <w:numFmt w:val="bullet"/>
      <w:lvlText w:val=""/>
      <w:lvlJc w:val="left"/>
      <w:pPr>
        <w:tabs>
          <w:tab w:val="num" w:pos="2880"/>
        </w:tabs>
        <w:ind w:left="2880" w:hanging="360"/>
      </w:pPr>
      <w:rPr>
        <w:rFonts w:ascii="Symbol" w:hAnsi="Symbol" w:hint="default"/>
      </w:rPr>
    </w:lvl>
    <w:lvl w:ilvl="4" w:tplc="100C0003" w:tentative="1">
      <w:start w:val="1"/>
      <w:numFmt w:val="bullet"/>
      <w:lvlText w:val="o"/>
      <w:lvlJc w:val="left"/>
      <w:pPr>
        <w:tabs>
          <w:tab w:val="num" w:pos="3600"/>
        </w:tabs>
        <w:ind w:left="3600" w:hanging="360"/>
      </w:pPr>
      <w:rPr>
        <w:rFonts w:ascii="Courier New" w:hAnsi="Courier New" w:cs="Courier New" w:hint="default"/>
      </w:rPr>
    </w:lvl>
    <w:lvl w:ilvl="5" w:tplc="100C0005" w:tentative="1">
      <w:start w:val="1"/>
      <w:numFmt w:val="bullet"/>
      <w:lvlText w:val=""/>
      <w:lvlJc w:val="left"/>
      <w:pPr>
        <w:tabs>
          <w:tab w:val="num" w:pos="4320"/>
        </w:tabs>
        <w:ind w:left="4320" w:hanging="360"/>
      </w:pPr>
      <w:rPr>
        <w:rFonts w:ascii="Wingdings" w:hAnsi="Wingdings" w:hint="default"/>
      </w:rPr>
    </w:lvl>
    <w:lvl w:ilvl="6" w:tplc="100C0001" w:tentative="1">
      <w:start w:val="1"/>
      <w:numFmt w:val="bullet"/>
      <w:lvlText w:val=""/>
      <w:lvlJc w:val="left"/>
      <w:pPr>
        <w:tabs>
          <w:tab w:val="num" w:pos="5040"/>
        </w:tabs>
        <w:ind w:left="5040" w:hanging="360"/>
      </w:pPr>
      <w:rPr>
        <w:rFonts w:ascii="Symbol" w:hAnsi="Symbol" w:hint="default"/>
      </w:rPr>
    </w:lvl>
    <w:lvl w:ilvl="7" w:tplc="100C0003" w:tentative="1">
      <w:start w:val="1"/>
      <w:numFmt w:val="bullet"/>
      <w:lvlText w:val="o"/>
      <w:lvlJc w:val="left"/>
      <w:pPr>
        <w:tabs>
          <w:tab w:val="num" w:pos="5760"/>
        </w:tabs>
        <w:ind w:left="5760" w:hanging="360"/>
      </w:pPr>
      <w:rPr>
        <w:rFonts w:ascii="Courier New" w:hAnsi="Courier New" w:cs="Courier New" w:hint="default"/>
      </w:rPr>
    </w:lvl>
    <w:lvl w:ilvl="8" w:tplc="100C0005" w:tentative="1">
      <w:start w:val="1"/>
      <w:numFmt w:val="bullet"/>
      <w:lvlText w:val=""/>
      <w:lvlJc w:val="left"/>
      <w:pPr>
        <w:tabs>
          <w:tab w:val="num" w:pos="6480"/>
        </w:tabs>
        <w:ind w:left="6480" w:hanging="360"/>
      </w:pPr>
      <w:rPr>
        <w:rFonts w:ascii="Wingdings" w:hAnsi="Wingdings" w:hint="default"/>
      </w:rPr>
    </w:lvl>
  </w:abstractNum>
  <w:abstractNum w:abstractNumId="7">
    <w:nsid w:val="675A350E"/>
    <w:multiLevelType w:val="hybridMultilevel"/>
    <w:tmpl w:val="CAF24544"/>
    <w:lvl w:ilvl="0" w:tplc="96FAA35A">
      <w:start w:val="1"/>
      <w:numFmt w:val="decimal"/>
      <w:lvlText w:val="%1)"/>
      <w:lvlJc w:val="left"/>
      <w:pPr>
        <w:ind w:left="360" w:hanging="360"/>
      </w:pPr>
      <w:rPr>
        <w:rFonts w:hint="default"/>
      </w:rPr>
    </w:lvl>
    <w:lvl w:ilvl="1" w:tplc="08070019">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8">
    <w:nsid w:val="7F8C63DC"/>
    <w:multiLevelType w:val="hybridMultilevel"/>
    <w:tmpl w:val="3E86F1AC"/>
    <w:lvl w:ilvl="0" w:tplc="3F027CC6">
      <w:start w:val="1"/>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1"/>
  </w:num>
  <w:num w:numId="4">
    <w:abstractNumId w:val="3"/>
  </w:num>
  <w:num w:numId="5">
    <w:abstractNumId w:val="0"/>
  </w:num>
  <w:num w:numId="6">
    <w:abstractNumId w:val="8"/>
  </w:num>
  <w:num w:numId="7">
    <w:abstractNumId w:val="4"/>
  </w:num>
  <w:num w:numId="8">
    <w:abstractNumId w:val="5"/>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4503"/>
    <w:rsid w:val="000A33AA"/>
    <w:rsid w:val="001E5BFA"/>
    <w:rsid w:val="00231BD5"/>
    <w:rsid w:val="002D5F8E"/>
    <w:rsid w:val="003041F5"/>
    <w:rsid w:val="0035299B"/>
    <w:rsid w:val="0040795F"/>
    <w:rsid w:val="004B180B"/>
    <w:rsid w:val="005214D3"/>
    <w:rsid w:val="00567756"/>
    <w:rsid w:val="007B1548"/>
    <w:rsid w:val="007B5D66"/>
    <w:rsid w:val="007E6B65"/>
    <w:rsid w:val="008F3A43"/>
    <w:rsid w:val="00924D7D"/>
    <w:rsid w:val="00952654"/>
    <w:rsid w:val="00A10D2B"/>
    <w:rsid w:val="00A26524"/>
    <w:rsid w:val="00A77D17"/>
    <w:rsid w:val="00AC084B"/>
    <w:rsid w:val="00B122D0"/>
    <w:rsid w:val="00B314D8"/>
    <w:rsid w:val="00B40350"/>
    <w:rsid w:val="00BF096E"/>
    <w:rsid w:val="00C230FC"/>
    <w:rsid w:val="00C97478"/>
    <w:rsid w:val="00D662AE"/>
    <w:rsid w:val="00DE4503"/>
    <w:rsid w:val="00E12597"/>
    <w:rsid w:val="00F35595"/>
    <w:rsid w:val="00F513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en-GB" w:eastAsia="en-GB" w:bidi="ar-SA"/>
      </w:rPr>
    </w:rPrDefault>
    <w:pPrDefault>
      <w:pPr>
        <w:spacing w:line="283" w:lineRule="exact"/>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F3A43"/>
  </w:style>
  <w:style w:type="paragraph" w:styleId="Heading1">
    <w:name w:val="heading 1"/>
    <w:basedOn w:val="Normal"/>
    <w:next w:val="Normal"/>
    <w:qFormat/>
    <w:rsid w:val="00F51360"/>
    <w:pPr>
      <w:keepNext/>
      <w:spacing w:line="240" w:lineRule="auto"/>
      <w:outlineLvl w:val="0"/>
    </w:pPr>
    <w:rPr>
      <w:rFonts w:cs="Arial"/>
      <w:b/>
      <w:bCs/>
      <w:kern w:val="32"/>
      <w:sz w:val="36"/>
      <w:szCs w:val="36"/>
    </w:rPr>
  </w:style>
  <w:style w:type="paragraph" w:styleId="Heading2">
    <w:name w:val="heading 2"/>
    <w:basedOn w:val="Normal"/>
    <w:next w:val="Normal"/>
    <w:qFormat/>
    <w:rsid w:val="00F51360"/>
    <w:pPr>
      <w:keepNext/>
      <w:spacing w:line="240" w:lineRule="auto"/>
      <w:outlineLvl w:val="1"/>
    </w:pPr>
    <w:rPr>
      <w:rFonts w:cs="Arial"/>
      <w:b/>
      <w:bCs/>
      <w:iCs/>
      <w:sz w:val="28"/>
      <w:szCs w:val="28"/>
    </w:rPr>
  </w:style>
  <w:style w:type="paragraph" w:styleId="Heading3">
    <w:name w:val="heading 3"/>
    <w:basedOn w:val="Normal"/>
    <w:next w:val="Normal"/>
    <w:qFormat/>
    <w:rsid w:val="00F51360"/>
    <w:pPr>
      <w:keepNext/>
      <w:spacing w:line="240" w:lineRule="auto"/>
      <w:outlineLvl w:val="2"/>
    </w:pPr>
    <w:rPr>
      <w:rFonts w:cs="Arial"/>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B40350"/>
    <w:pPr>
      <w:tabs>
        <w:tab w:val="center" w:pos="4536"/>
        <w:tab w:val="right" w:pos="9072"/>
      </w:tabs>
    </w:pPr>
  </w:style>
  <w:style w:type="character" w:customStyle="1" w:styleId="HeaderChar">
    <w:name w:val="Header Char"/>
    <w:basedOn w:val="DefaultParagraphFont"/>
    <w:link w:val="Header"/>
    <w:rsid w:val="00B40350"/>
    <w:rPr>
      <w:rFonts w:ascii="Arial" w:hAnsi="Arial"/>
      <w:lang w:eastAsia="fr-CH"/>
    </w:rPr>
  </w:style>
  <w:style w:type="paragraph" w:styleId="Footer">
    <w:name w:val="footer"/>
    <w:basedOn w:val="Normal"/>
    <w:link w:val="FooterChar"/>
    <w:rsid w:val="00B40350"/>
    <w:pPr>
      <w:tabs>
        <w:tab w:val="center" w:pos="4536"/>
        <w:tab w:val="right" w:pos="9072"/>
      </w:tabs>
    </w:pPr>
  </w:style>
  <w:style w:type="character" w:customStyle="1" w:styleId="FooterChar">
    <w:name w:val="Footer Char"/>
    <w:basedOn w:val="DefaultParagraphFont"/>
    <w:link w:val="Footer"/>
    <w:rsid w:val="00B40350"/>
    <w:rPr>
      <w:rFonts w:ascii="Arial" w:hAnsi="Arial"/>
      <w:lang w:eastAsia="fr-CH"/>
    </w:rPr>
  </w:style>
  <w:style w:type="paragraph" w:customStyle="1" w:styleId="Disclaimer">
    <w:name w:val="Disclaimer"/>
    <w:basedOn w:val="Normal"/>
    <w:link w:val="DisclaimerChar"/>
    <w:qFormat/>
    <w:rsid w:val="00F51360"/>
    <w:pPr>
      <w:spacing w:line="240" w:lineRule="auto"/>
      <w:jc w:val="both"/>
    </w:pPr>
    <w:rPr>
      <w:b/>
      <w:bCs/>
      <w:sz w:val="14"/>
      <w:szCs w:val="14"/>
      <w:lang w:val="en-US"/>
    </w:rPr>
  </w:style>
  <w:style w:type="character" w:customStyle="1" w:styleId="DisclaimerChar">
    <w:name w:val="Disclaimer Char"/>
    <w:basedOn w:val="DefaultParagraphFont"/>
    <w:link w:val="Disclaimer"/>
    <w:rsid w:val="00F51360"/>
    <w:rPr>
      <w:b/>
      <w:bCs/>
      <w:sz w:val="14"/>
      <w:szCs w:val="14"/>
      <w:lang w:val="en-US"/>
    </w:rPr>
  </w:style>
  <w:style w:type="paragraph" w:customStyle="1" w:styleId="Legalentity">
    <w:name w:val="Legal entity"/>
    <w:basedOn w:val="Footer"/>
    <w:link w:val="LegalentityChar"/>
    <w:qFormat/>
    <w:rsid w:val="00F51360"/>
    <w:pPr>
      <w:tabs>
        <w:tab w:val="clear" w:pos="4536"/>
        <w:tab w:val="clear" w:pos="9072"/>
        <w:tab w:val="right" w:pos="-284"/>
        <w:tab w:val="left" w:pos="0"/>
        <w:tab w:val="center" w:pos="4703"/>
        <w:tab w:val="right" w:pos="9406"/>
      </w:tabs>
      <w:spacing w:line="240" w:lineRule="auto"/>
      <w:ind w:left="-1985"/>
    </w:pPr>
    <w:rPr>
      <w:b/>
      <w:sz w:val="14"/>
      <w:szCs w:val="14"/>
      <w:lang w:eastAsia="fr-CH"/>
    </w:rPr>
  </w:style>
  <w:style w:type="character" w:customStyle="1" w:styleId="LegalentityChar">
    <w:name w:val="Legal entity Char"/>
    <w:basedOn w:val="FooterChar"/>
    <w:link w:val="Legalentity"/>
    <w:rsid w:val="00F51360"/>
    <w:rPr>
      <w:rFonts w:ascii="Arial" w:hAnsi="Arial"/>
      <w:b/>
      <w:sz w:val="14"/>
      <w:szCs w:val="14"/>
      <w:lang w:eastAsia="fr-CH"/>
    </w:rPr>
  </w:style>
  <w:style w:type="paragraph" w:customStyle="1" w:styleId="Bulletlist">
    <w:name w:val="Bullet list"/>
    <w:basedOn w:val="Normal"/>
    <w:link w:val="BulletlistChar"/>
    <w:qFormat/>
    <w:rsid w:val="00F51360"/>
    <w:pPr>
      <w:ind w:left="284" w:hanging="284"/>
      <w:contextualSpacing/>
    </w:pPr>
    <w:rPr>
      <w:lang w:eastAsia="fr-CH"/>
    </w:rPr>
  </w:style>
  <w:style w:type="character" w:customStyle="1" w:styleId="BulletlistChar">
    <w:name w:val="Bullet list Char"/>
    <w:basedOn w:val="DefaultParagraphFont"/>
    <w:link w:val="Bulletlist"/>
    <w:rsid w:val="00F51360"/>
    <w:rPr>
      <w:lang w:eastAsia="fr-CH"/>
    </w:rPr>
  </w:style>
  <w:style w:type="table" w:styleId="TableGrid">
    <w:name w:val="Table Grid"/>
    <w:basedOn w:val="TableNormal"/>
    <w:rsid w:val="00DE4503"/>
    <w:pPr>
      <w:spacing w:line="240" w:lineRule="auto"/>
    </w:pPr>
    <w:rPr>
      <w:rFonts w:ascii="Times New Roman" w:hAnsi="Times New Roman"/>
      <w:lang w:val="de-CH" w:eastAsia="de-CH"/>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E4503"/>
    <w:pPr>
      <w:ind w:left="720"/>
      <w:contextualSpacing/>
    </w:pPr>
  </w:style>
  <w:style w:type="paragraph" w:styleId="BalloonText">
    <w:name w:val="Balloon Text"/>
    <w:basedOn w:val="Normal"/>
    <w:link w:val="BalloonTextChar"/>
    <w:rsid w:val="00DE4503"/>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DE4503"/>
    <w:rPr>
      <w:rFonts w:ascii="Tahoma" w:hAnsi="Tahoma" w:cs="Tahoma"/>
      <w:sz w:val="16"/>
      <w:szCs w:val="16"/>
    </w:rPr>
  </w:style>
  <w:style w:type="character" w:styleId="Hyperlink">
    <w:name w:val="Hyperlink"/>
    <w:basedOn w:val="DefaultParagraphFont"/>
    <w:rsid w:val="00F35595"/>
    <w:rPr>
      <w:color w:val="33CCCC"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en-GB" w:eastAsia="en-GB" w:bidi="ar-SA"/>
      </w:rPr>
    </w:rPrDefault>
    <w:pPrDefault>
      <w:pPr>
        <w:spacing w:line="283" w:lineRule="exact"/>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F3A43"/>
  </w:style>
  <w:style w:type="paragraph" w:styleId="Heading1">
    <w:name w:val="heading 1"/>
    <w:basedOn w:val="Normal"/>
    <w:next w:val="Normal"/>
    <w:qFormat/>
    <w:rsid w:val="00F51360"/>
    <w:pPr>
      <w:keepNext/>
      <w:spacing w:line="240" w:lineRule="auto"/>
      <w:outlineLvl w:val="0"/>
    </w:pPr>
    <w:rPr>
      <w:rFonts w:cs="Arial"/>
      <w:b/>
      <w:bCs/>
      <w:kern w:val="32"/>
      <w:sz w:val="36"/>
      <w:szCs w:val="36"/>
    </w:rPr>
  </w:style>
  <w:style w:type="paragraph" w:styleId="Heading2">
    <w:name w:val="heading 2"/>
    <w:basedOn w:val="Normal"/>
    <w:next w:val="Normal"/>
    <w:qFormat/>
    <w:rsid w:val="00F51360"/>
    <w:pPr>
      <w:keepNext/>
      <w:spacing w:line="240" w:lineRule="auto"/>
      <w:outlineLvl w:val="1"/>
    </w:pPr>
    <w:rPr>
      <w:rFonts w:cs="Arial"/>
      <w:b/>
      <w:bCs/>
      <w:iCs/>
      <w:sz w:val="28"/>
      <w:szCs w:val="28"/>
    </w:rPr>
  </w:style>
  <w:style w:type="paragraph" w:styleId="Heading3">
    <w:name w:val="heading 3"/>
    <w:basedOn w:val="Normal"/>
    <w:next w:val="Normal"/>
    <w:qFormat/>
    <w:rsid w:val="00F51360"/>
    <w:pPr>
      <w:keepNext/>
      <w:spacing w:line="240" w:lineRule="auto"/>
      <w:outlineLvl w:val="2"/>
    </w:pPr>
    <w:rPr>
      <w:rFonts w:cs="Arial"/>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B40350"/>
    <w:pPr>
      <w:tabs>
        <w:tab w:val="center" w:pos="4536"/>
        <w:tab w:val="right" w:pos="9072"/>
      </w:tabs>
    </w:pPr>
  </w:style>
  <w:style w:type="character" w:customStyle="1" w:styleId="HeaderChar">
    <w:name w:val="Header Char"/>
    <w:basedOn w:val="DefaultParagraphFont"/>
    <w:link w:val="Header"/>
    <w:rsid w:val="00B40350"/>
    <w:rPr>
      <w:rFonts w:ascii="Arial" w:hAnsi="Arial"/>
      <w:lang w:eastAsia="fr-CH"/>
    </w:rPr>
  </w:style>
  <w:style w:type="paragraph" w:styleId="Footer">
    <w:name w:val="footer"/>
    <w:basedOn w:val="Normal"/>
    <w:link w:val="FooterChar"/>
    <w:rsid w:val="00B40350"/>
    <w:pPr>
      <w:tabs>
        <w:tab w:val="center" w:pos="4536"/>
        <w:tab w:val="right" w:pos="9072"/>
      </w:tabs>
    </w:pPr>
  </w:style>
  <w:style w:type="character" w:customStyle="1" w:styleId="FooterChar">
    <w:name w:val="Footer Char"/>
    <w:basedOn w:val="DefaultParagraphFont"/>
    <w:link w:val="Footer"/>
    <w:rsid w:val="00B40350"/>
    <w:rPr>
      <w:rFonts w:ascii="Arial" w:hAnsi="Arial"/>
      <w:lang w:eastAsia="fr-CH"/>
    </w:rPr>
  </w:style>
  <w:style w:type="paragraph" w:customStyle="1" w:styleId="Disclaimer">
    <w:name w:val="Disclaimer"/>
    <w:basedOn w:val="Normal"/>
    <w:link w:val="DisclaimerChar"/>
    <w:qFormat/>
    <w:rsid w:val="00F51360"/>
    <w:pPr>
      <w:spacing w:line="240" w:lineRule="auto"/>
      <w:jc w:val="both"/>
    </w:pPr>
    <w:rPr>
      <w:b/>
      <w:bCs/>
      <w:sz w:val="14"/>
      <w:szCs w:val="14"/>
      <w:lang w:val="en-US"/>
    </w:rPr>
  </w:style>
  <w:style w:type="character" w:customStyle="1" w:styleId="DisclaimerChar">
    <w:name w:val="Disclaimer Char"/>
    <w:basedOn w:val="DefaultParagraphFont"/>
    <w:link w:val="Disclaimer"/>
    <w:rsid w:val="00F51360"/>
    <w:rPr>
      <w:b/>
      <w:bCs/>
      <w:sz w:val="14"/>
      <w:szCs w:val="14"/>
      <w:lang w:val="en-US"/>
    </w:rPr>
  </w:style>
  <w:style w:type="paragraph" w:customStyle="1" w:styleId="Legalentity">
    <w:name w:val="Legal entity"/>
    <w:basedOn w:val="Footer"/>
    <w:link w:val="LegalentityChar"/>
    <w:qFormat/>
    <w:rsid w:val="00F51360"/>
    <w:pPr>
      <w:tabs>
        <w:tab w:val="clear" w:pos="4536"/>
        <w:tab w:val="clear" w:pos="9072"/>
        <w:tab w:val="right" w:pos="-284"/>
        <w:tab w:val="left" w:pos="0"/>
        <w:tab w:val="center" w:pos="4703"/>
        <w:tab w:val="right" w:pos="9406"/>
      </w:tabs>
      <w:spacing w:line="240" w:lineRule="auto"/>
      <w:ind w:left="-1985"/>
    </w:pPr>
    <w:rPr>
      <w:b/>
      <w:sz w:val="14"/>
      <w:szCs w:val="14"/>
      <w:lang w:eastAsia="fr-CH"/>
    </w:rPr>
  </w:style>
  <w:style w:type="character" w:customStyle="1" w:styleId="LegalentityChar">
    <w:name w:val="Legal entity Char"/>
    <w:basedOn w:val="FooterChar"/>
    <w:link w:val="Legalentity"/>
    <w:rsid w:val="00F51360"/>
    <w:rPr>
      <w:rFonts w:ascii="Arial" w:hAnsi="Arial"/>
      <w:b/>
      <w:sz w:val="14"/>
      <w:szCs w:val="14"/>
      <w:lang w:eastAsia="fr-CH"/>
    </w:rPr>
  </w:style>
  <w:style w:type="paragraph" w:customStyle="1" w:styleId="Bulletlist">
    <w:name w:val="Bullet list"/>
    <w:basedOn w:val="Normal"/>
    <w:link w:val="BulletlistChar"/>
    <w:qFormat/>
    <w:rsid w:val="00F51360"/>
    <w:pPr>
      <w:ind w:left="284" w:hanging="284"/>
      <w:contextualSpacing/>
    </w:pPr>
    <w:rPr>
      <w:lang w:eastAsia="fr-CH"/>
    </w:rPr>
  </w:style>
  <w:style w:type="character" w:customStyle="1" w:styleId="BulletlistChar">
    <w:name w:val="Bullet list Char"/>
    <w:basedOn w:val="DefaultParagraphFont"/>
    <w:link w:val="Bulletlist"/>
    <w:rsid w:val="00F51360"/>
    <w:rPr>
      <w:lang w:eastAsia="fr-CH"/>
    </w:rPr>
  </w:style>
  <w:style w:type="table" w:styleId="TableGrid">
    <w:name w:val="Table Grid"/>
    <w:basedOn w:val="TableNormal"/>
    <w:rsid w:val="00DE4503"/>
    <w:pPr>
      <w:spacing w:line="240" w:lineRule="auto"/>
    </w:pPr>
    <w:rPr>
      <w:rFonts w:ascii="Times New Roman" w:hAnsi="Times New Roman"/>
      <w:lang w:val="de-CH" w:eastAsia="de-CH"/>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E4503"/>
    <w:pPr>
      <w:ind w:left="720"/>
      <w:contextualSpacing/>
    </w:pPr>
  </w:style>
  <w:style w:type="paragraph" w:styleId="BalloonText">
    <w:name w:val="Balloon Text"/>
    <w:basedOn w:val="Normal"/>
    <w:link w:val="BalloonTextChar"/>
    <w:rsid w:val="00DE4503"/>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DE4503"/>
    <w:rPr>
      <w:rFonts w:ascii="Tahoma" w:hAnsi="Tahoma" w:cs="Tahoma"/>
      <w:sz w:val="16"/>
      <w:szCs w:val="16"/>
    </w:rPr>
  </w:style>
  <w:style w:type="character" w:styleId="Hyperlink">
    <w:name w:val="Hyperlink"/>
    <w:basedOn w:val="DefaultParagraphFont"/>
    <w:rsid w:val="00F35595"/>
    <w:rPr>
      <w:color w:val="33CCCC"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Givaudan">
      <a:dk1>
        <a:sysClr val="windowText" lastClr="000000"/>
      </a:dk1>
      <a:lt1>
        <a:sysClr val="window" lastClr="FFFFFF"/>
      </a:lt1>
      <a:dk2>
        <a:srgbClr val="5F5F5F"/>
      </a:dk2>
      <a:lt2>
        <a:srgbClr val="DDDDDD"/>
      </a:lt2>
      <a:accent1>
        <a:srgbClr val="990033"/>
      </a:accent1>
      <a:accent2>
        <a:srgbClr val="99CC00"/>
      </a:accent2>
      <a:accent3>
        <a:srgbClr val="009999"/>
      </a:accent3>
      <a:accent4>
        <a:srgbClr val="3366CC"/>
      </a:accent4>
      <a:accent5>
        <a:srgbClr val="CC0000"/>
      </a:accent5>
      <a:accent6>
        <a:srgbClr val="CCFF33"/>
      </a:accent6>
      <a:hlink>
        <a:srgbClr val="33CCCC"/>
      </a:hlink>
      <a:folHlink>
        <a:srgbClr val="0099FF"/>
      </a:folHlink>
    </a:clrScheme>
    <a:fontScheme name="Givaudan">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80F8D2-DF4E-4FD5-B3CD-B995992C3B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339</Words>
  <Characters>2137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Giv_blankLogoA4</vt:lpstr>
    </vt:vector>
  </TitlesOfParts>
  <Company>Givaudan</Company>
  <LinksUpToDate>false</LinksUpToDate>
  <CharactersWithSpaces>2472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Giv_blankLogoA4</dc:title>
  <dc:creator>Flachsmann Felix</dc:creator>
  <cp:lastModifiedBy>Flachsmann Felix</cp:lastModifiedBy>
  <cp:revision>4</cp:revision>
  <dcterms:created xsi:type="dcterms:W3CDTF">2012-10-12T13:57:00Z</dcterms:created>
  <dcterms:modified xsi:type="dcterms:W3CDTF">2012-10-13T05:53:00Z</dcterms:modified>
</cp:coreProperties>
</file>